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木垒哈萨克自治县草原工作站</w:t>
      </w:r>
    </w:p>
    <w:p>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hAnsi="宋体" w:eastAsia="仿宋_GB2312"/>
          <w:bCs/>
          <w:sz w:val="32"/>
          <w:szCs w:val="32"/>
        </w:rPr>
        <w:t>木垒哈萨克自治县草原工作站的主要职能主要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负责退牧还草围栏项目的规划、建设、施工和监督检查、验收。负责草原生物灾害的预测预报和防治方案的制定、任务实施防治技术的规范、检查和验收。依照《中华人民共和国草原法》、《中华人民共和国种子法》和农业部《草种管理办法》、负责全县牧草种子的质量监督、检查、牧草种子三证（生产许可证、质量合格证、经营许可证）的审核、市场的监督</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木垒哈萨克自治县草原工作站2023年度，实有人数</w:t>
      </w:r>
      <w:r>
        <w:rPr>
          <w:rFonts w:hint="eastAsia" w:ascii="仿宋_GB2312" w:eastAsia="仿宋_GB2312"/>
          <w:sz w:val="32"/>
          <w:szCs w:val="32"/>
          <w:lang w:val="zh-CN"/>
        </w:rPr>
        <w:t>13</w:t>
      </w:r>
      <w:r>
        <w:rPr>
          <w:rFonts w:hint="eastAsia" w:ascii="仿宋_GB2312" w:eastAsia="仿宋_GB2312"/>
          <w:sz w:val="32"/>
          <w:szCs w:val="32"/>
        </w:rPr>
        <w:t>人，其中：在职人员</w:t>
      </w:r>
      <w:r>
        <w:rPr>
          <w:rFonts w:hint="eastAsia" w:ascii="仿宋_GB2312" w:eastAsia="仿宋_GB2312"/>
          <w:sz w:val="32"/>
          <w:szCs w:val="32"/>
          <w:lang w:val="zh-CN"/>
        </w:rPr>
        <w:t>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办公室、业务科。</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2023年度收入总计927.27万元，其中：本年收入合计927.27万元，使用非财政拨款结余0.00万元，年初结转和结余0.00万元。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2023年度支出总计927.27万元，其中：本年支出合计927.27万元，结余分配0.00万元，年末结转和结余0.00万元。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增加658.00万元</w:t>
      </w:r>
      <w:r>
        <w:rPr>
          <w:rFonts w:hint="eastAsia" w:ascii="仿宋_GB2312" w:eastAsia="仿宋_GB2312"/>
          <w:sz w:val="32"/>
          <w:szCs w:val="32"/>
        </w:rPr>
        <w:t>，增长244.36%，主要原因是：本年林业和草原生态修复资金增加。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本年收入927.27万元，其中：财政拨款收入</w:t>
      </w:r>
      <w:r>
        <w:rPr>
          <w:rFonts w:hint="eastAsia" w:ascii="仿宋_GB2312" w:eastAsia="仿宋_GB2312"/>
          <w:sz w:val="32"/>
          <w:szCs w:val="32"/>
          <w:lang w:val="zh-CN"/>
        </w:rPr>
        <w:t>927.27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本年支出927.27万元，其中：基本支出245.81万元，占26.51%；项目支出681.46万元，占73.49%；上缴上级支出0.00万元，占0.00%；经营支出0.00万元，占0.00%；对附属单位补助支出0.00万元，占0.00%。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927.27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927.27</w:t>
      </w:r>
      <w:r>
        <w:rPr>
          <w:rFonts w:hint="eastAsia" w:ascii="仿宋_GB2312" w:eastAsia="仿宋_GB2312"/>
          <w:sz w:val="32"/>
          <w:szCs w:val="32"/>
        </w:rPr>
        <w:t>万元。财政拨款支出总计</w:t>
      </w:r>
      <w:r>
        <w:rPr>
          <w:rFonts w:hint="eastAsia" w:ascii="仿宋_GB2312" w:eastAsia="仿宋_GB2312"/>
          <w:sz w:val="32"/>
          <w:szCs w:val="32"/>
          <w:lang w:val="zh-CN"/>
        </w:rPr>
        <w:t>927.27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927.27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增加658.00万元</w:t>
      </w:r>
      <w:r>
        <w:rPr>
          <w:rFonts w:hint="eastAsia" w:ascii="仿宋_GB2312" w:eastAsia="仿宋_GB2312"/>
          <w:sz w:val="32"/>
          <w:szCs w:val="32"/>
        </w:rPr>
        <w:t>，增长244.36%,主要原因是：本年林业和草原生态修复资金增加。与年初预算相比，年初预算数</w:t>
      </w:r>
      <w:r>
        <w:rPr>
          <w:rFonts w:hint="eastAsia" w:ascii="仿宋_GB2312" w:eastAsia="仿宋_GB2312"/>
          <w:sz w:val="32"/>
          <w:szCs w:val="32"/>
          <w:lang w:val="zh-CN"/>
        </w:rPr>
        <w:t>81.99</w:t>
      </w:r>
      <w:r>
        <w:rPr>
          <w:rFonts w:hint="eastAsia" w:ascii="仿宋_GB2312" w:eastAsia="仿宋_GB2312"/>
          <w:sz w:val="32"/>
          <w:szCs w:val="32"/>
        </w:rPr>
        <w:t>万元，决算数</w:t>
      </w:r>
      <w:r>
        <w:rPr>
          <w:rFonts w:hint="eastAsia" w:ascii="仿宋_GB2312" w:eastAsia="仿宋_GB2312"/>
          <w:sz w:val="32"/>
          <w:szCs w:val="32"/>
          <w:lang w:val="zh-CN"/>
        </w:rPr>
        <w:t>927.27</w:t>
      </w:r>
      <w:r>
        <w:rPr>
          <w:rFonts w:hint="eastAsia" w:ascii="仿宋_GB2312" w:eastAsia="仿宋_GB2312"/>
          <w:sz w:val="32"/>
          <w:szCs w:val="32"/>
        </w:rPr>
        <w:t>万元，预决算差异率1030.95%，主要原因是：本年追加林业和草原生态修复</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2023年度一般公共预算财政拨款支出844.39万元，占本年支出合计的</w:t>
      </w:r>
      <w:r>
        <w:rPr>
          <w:rFonts w:hint="eastAsia" w:ascii="仿宋_GB2312" w:eastAsia="仿宋_GB2312"/>
          <w:sz w:val="32"/>
          <w:szCs w:val="32"/>
          <w:lang w:val="zh-CN"/>
        </w:rPr>
        <w:t>91.06%</w:t>
      </w:r>
      <w:r>
        <w:rPr>
          <w:rFonts w:hint="eastAsia" w:ascii="仿宋_GB2312" w:eastAsia="仿宋_GB2312"/>
          <w:sz w:val="32"/>
          <w:szCs w:val="32"/>
        </w:rPr>
        <w:t>。与上年相比，</w:t>
      </w:r>
      <w:r>
        <w:rPr>
          <w:rFonts w:hint="eastAsia" w:ascii="仿宋_GB2312" w:eastAsia="仿宋_GB2312"/>
          <w:sz w:val="32"/>
          <w:szCs w:val="32"/>
          <w:lang w:val="zh-CN"/>
        </w:rPr>
        <w:t>增加575.12万元</w:t>
      </w:r>
      <w:r>
        <w:rPr>
          <w:rFonts w:hint="eastAsia" w:ascii="仿宋_GB2312" w:eastAsia="仿宋_GB2312"/>
          <w:sz w:val="32"/>
          <w:szCs w:val="32"/>
        </w:rPr>
        <w:t>，增长213.58%,主要原因是：本年林业和草原生态修复资金增加。与年初预算相比，年初预算数</w:t>
      </w:r>
      <w:r>
        <w:rPr>
          <w:rFonts w:hint="eastAsia" w:ascii="仿宋_GB2312" w:eastAsia="仿宋_GB2312"/>
          <w:sz w:val="32"/>
          <w:szCs w:val="32"/>
          <w:lang w:val="zh-CN"/>
        </w:rPr>
        <w:t>81.99</w:t>
      </w:r>
      <w:r>
        <w:rPr>
          <w:rFonts w:hint="eastAsia" w:ascii="仿宋_GB2312" w:eastAsia="仿宋_GB2312"/>
          <w:sz w:val="32"/>
          <w:szCs w:val="32"/>
        </w:rPr>
        <w:t>万元，决算数</w:t>
      </w:r>
      <w:r>
        <w:rPr>
          <w:rFonts w:hint="eastAsia" w:ascii="仿宋_GB2312" w:eastAsia="仿宋_GB2312"/>
          <w:sz w:val="32"/>
          <w:szCs w:val="32"/>
          <w:lang w:val="zh-CN"/>
        </w:rPr>
        <w:t>844.39</w:t>
      </w:r>
      <w:r>
        <w:rPr>
          <w:rFonts w:hint="eastAsia" w:ascii="仿宋_GB2312" w:eastAsia="仿宋_GB2312"/>
          <w:sz w:val="32"/>
          <w:szCs w:val="32"/>
        </w:rPr>
        <w:t>万元，预决算差异率</w:t>
      </w:r>
      <w:r>
        <w:rPr>
          <w:rFonts w:hint="eastAsia" w:ascii="仿宋_GB2312" w:eastAsia="仿宋_GB2312"/>
          <w:sz w:val="32"/>
          <w:szCs w:val="32"/>
          <w:lang w:val="zh-CN"/>
        </w:rPr>
        <w:t>929.87%</w:t>
      </w:r>
      <w:r>
        <w:rPr>
          <w:rFonts w:hint="eastAsia" w:ascii="仿宋_GB2312" w:eastAsia="仿宋_GB2312"/>
          <w:sz w:val="32"/>
          <w:szCs w:val="32"/>
        </w:rPr>
        <w:t>，主要原因是：本年追加林业和草原生态修复</w:t>
      </w:r>
      <w:r>
        <w:rPr>
          <w:rFonts w:hint="eastAsia" w:ascii="仿宋_GB2312" w:eastAsia="仿宋_GB2312"/>
          <w:sz w:val="32"/>
          <w:szCs w:val="32"/>
          <w:lang w:val="en-US" w:eastAsia="zh-CN"/>
        </w:rPr>
        <w:t>项目</w:t>
      </w:r>
      <w:r>
        <w:rPr>
          <w:rFonts w:hint="eastAsia" w:ascii="仿宋_GB2312" w:eastAsia="仿宋_GB2312"/>
          <w:sz w:val="32"/>
          <w:szCs w:val="32"/>
        </w:rPr>
        <w:t>资金。</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jc w:val="left"/>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.社会保障和就业支出（类）</w:t>
      </w:r>
      <w:r>
        <w:rPr>
          <w:rFonts w:hint="eastAsia" w:ascii="仿宋_GB2312" w:eastAsia="仿宋_GB2312"/>
          <w:sz w:val="32"/>
          <w:szCs w:val="32"/>
        </w:rPr>
        <w:t>10.94</w:t>
      </w:r>
      <w:r>
        <w:rPr>
          <w:rFonts w:ascii="仿宋_GB2312" w:eastAsia="仿宋_GB2312"/>
          <w:sz w:val="32"/>
          <w:szCs w:val="32"/>
        </w:rPr>
        <w:t>万元，占</w:t>
      </w:r>
      <w:r>
        <w:rPr>
          <w:rFonts w:hint="eastAsia" w:ascii="仿宋_GB2312" w:eastAsia="仿宋_GB2312"/>
          <w:sz w:val="32"/>
          <w:szCs w:val="32"/>
        </w:rPr>
        <w:t>1.30</w:t>
      </w:r>
      <w:r>
        <w:rPr>
          <w:rFonts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.节能环保支出（类）</w:t>
      </w:r>
      <w:r>
        <w:rPr>
          <w:rFonts w:hint="eastAsia" w:ascii="仿宋_GB2312" w:eastAsia="仿宋_GB2312"/>
          <w:sz w:val="32"/>
          <w:szCs w:val="32"/>
        </w:rPr>
        <w:t>193.71</w:t>
      </w:r>
      <w:r>
        <w:rPr>
          <w:rFonts w:ascii="仿宋_GB2312" w:eastAsia="仿宋_GB2312"/>
          <w:sz w:val="32"/>
          <w:szCs w:val="32"/>
        </w:rPr>
        <w:t>万元，占</w:t>
      </w:r>
      <w:r>
        <w:rPr>
          <w:rFonts w:hint="eastAsia" w:ascii="仿宋_GB2312" w:eastAsia="仿宋_GB2312"/>
          <w:sz w:val="32"/>
          <w:szCs w:val="32"/>
        </w:rPr>
        <w:t>22.94</w:t>
      </w:r>
      <w:r>
        <w:rPr>
          <w:rFonts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.农林水支出（类）</w:t>
      </w:r>
      <w:r>
        <w:rPr>
          <w:rFonts w:hint="eastAsia" w:ascii="仿宋_GB2312" w:eastAsia="仿宋_GB2312"/>
          <w:sz w:val="32"/>
          <w:szCs w:val="32"/>
        </w:rPr>
        <w:t>634.23</w:t>
      </w:r>
      <w:r>
        <w:rPr>
          <w:rFonts w:ascii="仿宋_GB2312" w:eastAsia="仿宋_GB2312"/>
          <w:sz w:val="32"/>
          <w:szCs w:val="32"/>
        </w:rPr>
        <w:t>万元，占</w:t>
      </w:r>
      <w:r>
        <w:rPr>
          <w:rFonts w:hint="eastAsia" w:ascii="仿宋_GB2312" w:eastAsia="仿宋_GB2312"/>
          <w:sz w:val="32"/>
          <w:szCs w:val="32"/>
        </w:rPr>
        <w:t>75.11</w:t>
      </w:r>
      <w:r>
        <w:rPr>
          <w:rFonts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.住房保障支出（类）</w:t>
      </w:r>
      <w:r>
        <w:rPr>
          <w:rFonts w:hint="eastAsia" w:ascii="仿宋_GB2312" w:eastAsia="仿宋_GB2312"/>
          <w:sz w:val="32"/>
          <w:szCs w:val="32"/>
        </w:rPr>
        <w:t>5.51</w:t>
      </w:r>
      <w:r>
        <w:rPr>
          <w:rFonts w:ascii="仿宋_GB2312" w:eastAsia="仿宋_GB2312"/>
          <w:sz w:val="32"/>
          <w:szCs w:val="32"/>
        </w:rPr>
        <w:t>万元，占</w:t>
      </w:r>
      <w:r>
        <w:rPr>
          <w:rFonts w:hint="eastAsia" w:ascii="仿宋_GB2312" w:eastAsia="仿宋_GB2312"/>
          <w:sz w:val="32"/>
          <w:szCs w:val="32"/>
        </w:rPr>
        <w:t>0.65</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1.农林水支出（类）农业农村（款）事业运行（项）:支出决算数为82.54万元，比上年决算增加6.30万元，增长8.27%，主要原因是：本年人员调资，工资支出增加。</w:t>
      </w:r>
    </w:p>
    <w:p>
      <w:pPr>
        <w:ind w:firstLine="640" w:firstLineChars="200"/>
        <w:jc w:val="left"/>
        <w:rPr>
          <w:rFonts w:ascii="仿宋_GB2312" w:eastAsia="仿宋_GB2312"/>
          <w:sz w:val="32"/>
          <w:szCs w:val="32"/>
        </w:rPr>
      </w:pPr>
      <w:r>
        <w:rPr>
          <w:rFonts w:hint="eastAsia" w:ascii="仿宋_GB2312" w:eastAsia="仿宋_GB2312"/>
          <w:sz w:val="32"/>
          <w:szCs w:val="32"/>
        </w:rPr>
        <w:t>2.节能环保支出（类）自然生态保护（款）草原生态修复治理（项）:支出决算数为193.71万元，比上年决算增加17.59万元，增长9.99%，主要原因是：林业草原生态恢复资金增加。</w:t>
      </w:r>
    </w:p>
    <w:p>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3.住房保障支出（类）住房改革支出（款）住房公积金（项）:支出决算数为5.51万元，比上年决算增加3.86万元，增长232.93%，主要原因是：人员调资，公积金基数调整增加。</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4.社会保障和就业支出（类）抚恤（款）死亡抚恤（项）:支出决算数为1.15万元，比上年决算增加0.00万元，增长0.00%，主要原因是：与上年变动无差异。</w:t>
      </w:r>
    </w:p>
    <w:p>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5.社会保障和就业支出（类）行政事业单位养老支出（款）事业单位离退休（项）:支出决算数为2.77万元，比上年决算增加2.77万元，增长100%，主要原因是：本年发放退休人员采暖费及独生子女费。</w:t>
      </w:r>
    </w:p>
    <w:p>
      <w:pPr>
        <w:ind w:firstLine="640" w:firstLineChars="200"/>
        <w:jc w:val="left"/>
        <w:rPr>
          <w:rFonts w:ascii="仿宋_GB2312" w:eastAsia="仿宋_GB2312"/>
          <w:sz w:val="32"/>
          <w:szCs w:val="32"/>
        </w:rPr>
      </w:pPr>
      <w:r>
        <w:rPr>
          <w:rFonts w:hint="eastAsia" w:ascii="仿宋_GB2312" w:eastAsia="仿宋_GB2312"/>
          <w:sz w:val="32"/>
          <w:szCs w:val="32"/>
        </w:rPr>
        <w:t>6.农林水支出（类）其他农林水支出（款）其他农林水支出（项）:支出决算数为4.20万元，比上年决算增加4.20万元，增长100%，主要原因是：昌州财建（2021）27号关于拨付2021年草原植被恢复费本年增加。</w:t>
      </w:r>
    </w:p>
    <w:p>
      <w:pPr>
        <w:ind w:firstLine="640" w:firstLineChars="200"/>
        <w:jc w:val="left"/>
        <w:rPr>
          <w:rFonts w:ascii="仿宋_GB2312" w:eastAsia="仿宋_GB2312"/>
          <w:sz w:val="32"/>
          <w:szCs w:val="32"/>
        </w:rPr>
      </w:pPr>
      <w:r>
        <w:rPr>
          <w:rFonts w:hint="eastAsia" w:ascii="仿宋_GB2312" w:eastAsia="仿宋_GB2312"/>
          <w:sz w:val="32"/>
          <w:szCs w:val="32"/>
        </w:rPr>
        <w:t>7.农林水支出（类）农业农村（款）行政运行（项）:支出决算数为146.82万元，比上年决算增加146.82万元，增长100%，主要原因是：林业和草原生态修复支出增加。</w:t>
      </w:r>
    </w:p>
    <w:p>
      <w:pPr>
        <w:ind w:firstLine="640" w:firstLineChars="200"/>
        <w:jc w:val="left"/>
        <w:rPr>
          <w:rFonts w:ascii="仿宋_GB2312" w:eastAsia="仿宋_GB2312"/>
          <w:sz w:val="32"/>
          <w:szCs w:val="32"/>
        </w:rPr>
      </w:pPr>
      <w:r>
        <w:rPr>
          <w:rFonts w:hint="eastAsia" w:ascii="仿宋_GB2312" w:eastAsia="仿宋_GB2312"/>
          <w:sz w:val="32"/>
          <w:szCs w:val="32"/>
        </w:rPr>
        <w:t>8.农林水支出（类）林业和草原（款）其他林业和草原支出（项）:支出决算数为400.67万元，比上年决算增加400.67万元，增长100%，主要原因是：本年中央林业改革发展资金增加。</w:t>
      </w:r>
    </w:p>
    <w:p>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7.02万元，比上年决算减少0.93万元，下降11.64%，主要原因是：新进编人员社保基数较低，较上年减少。</w:t>
      </w:r>
    </w:p>
    <w:p>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10.社会保障和就业支出（类）行政事业单位养老支出（款）机关事业单位职业年金缴费支出（项）:支出决算数为0.00万元，比上年决算减少5.05万元，下降100%，主要原因是：本年无人员退休，未发生此项费用。</w:t>
      </w:r>
    </w:p>
    <w:p>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11.其他支出（类）其他支出（款）其他支出（项）:支出决算数为0.00万元，比上年决算减少1.12万元，下降100%，主要原因是：</w:t>
      </w:r>
      <w:r>
        <w:rPr>
          <w:rFonts w:hint="eastAsia" w:ascii="仿宋_GB2312" w:eastAsia="仿宋_GB2312"/>
          <w:sz w:val="32"/>
          <w:szCs w:val="32"/>
          <w:lang w:val="en-US" w:eastAsia="zh-CN"/>
        </w:rPr>
        <w:t>本年单位</w:t>
      </w:r>
      <w:r>
        <w:rPr>
          <w:rFonts w:hint="eastAsia" w:ascii="仿宋_GB2312" w:eastAsia="仿宋_GB2312"/>
          <w:sz w:val="32"/>
          <w:szCs w:val="32"/>
        </w:rPr>
        <w:t>访惠聚支出减少。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245.81万元，其中：人员经费80.36万元，包括：基本工资、津贴补贴、奖金、机关事业单位基本养老保险缴费、职工基本医疗保险缴费、其他社会保障缴费、住房公积金、退休费、生活补助、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公用经费165.45万元，包括：办公费、水费、邮电费、取暖费、差旅费、委托业务费、公务用车运行维护费。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“三公”经费支出0.58万元，</w:t>
      </w:r>
      <w:r>
        <w:rPr>
          <w:rFonts w:hint="eastAsia" w:ascii="仿宋_GB2312" w:eastAsia="仿宋_GB2312"/>
          <w:sz w:val="32"/>
          <w:szCs w:val="32"/>
        </w:rPr>
        <w:t>比上年</w:t>
      </w:r>
      <w:r>
        <w:rPr>
          <w:rFonts w:hint="eastAsia" w:ascii="仿宋_GB2312" w:eastAsia="仿宋_GB2312"/>
          <w:sz w:val="32"/>
          <w:szCs w:val="32"/>
          <w:lang w:val="zh-CN"/>
        </w:rPr>
        <w:t>增加0.58万元，</w:t>
      </w:r>
      <w:r>
        <w:rPr>
          <w:rFonts w:hint="eastAsia" w:ascii="仿宋_GB2312" w:eastAsia="仿宋_GB2312"/>
          <w:sz w:val="32"/>
          <w:szCs w:val="32"/>
        </w:rPr>
        <w:t>增长100.00%,</w:t>
      </w:r>
      <w:r>
        <w:rPr>
          <w:rFonts w:hint="eastAsia" w:ascii="仿宋_GB2312" w:eastAsia="仿宋_GB2312"/>
          <w:sz w:val="32"/>
          <w:szCs w:val="32"/>
          <w:lang w:val="zh-CN"/>
        </w:rPr>
        <w:t>主要原因是：本年车辆使用增加，相应经费支出增加。其中：因公出国（境）费支出0.00万元，占0.00%，比上年增加0.00万元，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主要原因是：本年单位无此项经费支出；公务用车购置及运行维护费支出0.58万元，占100.00%，比上年增加0.58万元，</w:t>
      </w:r>
      <w:r>
        <w:rPr>
          <w:rFonts w:hint="eastAsia" w:ascii="仿宋_GB2312" w:eastAsia="仿宋_GB2312"/>
          <w:sz w:val="32"/>
          <w:szCs w:val="32"/>
        </w:rPr>
        <w:t>增长100.00%,</w:t>
      </w:r>
      <w:r>
        <w:rPr>
          <w:rFonts w:hint="eastAsia" w:ascii="仿宋_GB2312" w:eastAsia="仿宋_GB2312"/>
          <w:sz w:val="32"/>
          <w:szCs w:val="32"/>
          <w:lang w:val="zh-CN"/>
        </w:rPr>
        <w:t>主要原因是：本年车辆使用增加，相应经费支出增加；公务接待费支出0.00万元，占0.00%，比上年增加0.00万元，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因公出国（境）费支出0.00万元，开支内容包括我本年单位无此项经费支出。单位全年安排的因公出国（境）团组0个，因公出国（境）0人次。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0.58万元，其中：公务用车购置费0.00万元，公务用车运行维护费0.58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公务接待费0.00万元，开支内容包括我本年单位无此项经费支出。单位全年安排的国内公务接待0批次，0人次。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预算数0.58万元，决算数0.58万元，预决算差异率0.00%，主要原因是：预决算对比无差异。其中：因公出国（境）费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预算数0.00万元，决算数0.00万元，预决算差异率0.00%，主要原因是：本年单位无此项经费支出；公务用车运行费</w:t>
      </w:r>
      <w:r>
        <w:rPr>
          <w:rFonts w:hint="eastAsia" w:ascii="仿宋_GB2312" w:eastAsia="仿宋_GB2312"/>
          <w:sz w:val="32"/>
          <w:szCs w:val="32"/>
        </w:rPr>
        <w:t>全年</w:t>
      </w:r>
      <w:r>
        <w:rPr>
          <w:rFonts w:hint="eastAsia" w:ascii="仿宋_GB2312" w:eastAsia="仿宋_GB2312"/>
          <w:sz w:val="32"/>
          <w:szCs w:val="32"/>
          <w:lang w:val="zh-CN"/>
        </w:rPr>
        <w:t>预算数0.58万元，决算数0.58万元，预决算差异率0.00%，主要原因是：预决算对比无差异；公务接待费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预算数0.00万元，决算数0.00万元，预决算差异率0.00%，主要原因是：本年单位无此项经费支出。</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2023年度政府性基金预算财政拨款收入总计82.87万元，其中：年初结转和结余0.00万元，本年收入82.87万元。政府性基金预算财政拨款支出总计82.87万元，其中：年末结转和结余0.00万元，本年支出82.87万元。</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82.87万元,增长100.00%,主要原因是：本年草原生态修复资金增加。与年初预算相比,年初预算数0.00万元，决算数82.87万元，预决算差异率100.00%，主要原因是：本年追加草原生态修复</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政府性基金预算财政拨款支出82.87万元。</w:t>
      </w:r>
    </w:p>
    <w:p>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1.城乡社区支出（类）国有土地使用权出让收入安排的支出（款）农业农村生态环境支出（项）:支出决算数为82.87万元，比上年决算增加82.87万元，增长100%，主要原因是：本年草原生态修复</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2023年度木垒哈萨克自治县草原工作站（事业单位）公用经费支出165.45万元，比上年增加163.32万元，增长7,665.88%，主要原因是：林业和草原生态修复支出增加。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2023年度政府采购支出总额22.05万元，其中：政府采购货物支出18.03万元、政府采购工程支出0.00万元、政府采购服务支出4.01万元。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授予中小企业合同金额22.05万元，占政府采购支出总额的100.00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，其中：授予小微企业合同金额18.03万元，占政府采购支出总额的81.80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36.85万元，房屋0.00方米，价值0.00万元。车辆1辆，价值8.90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927.27</w:t>
      </w:r>
      <w:r>
        <w:rPr>
          <w:rFonts w:hint="eastAsia" w:ascii="仿宋_GB2312" w:eastAsia="仿宋_GB2312"/>
          <w:sz w:val="32"/>
          <w:szCs w:val="32"/>
        </w:rPr>
        <w:t>万元，实际执行总额</w:t>
      </w:r>
      <w:r>
        <w:rPr>
          <w:rFonts w:ascii="仿宋_GB2312" w:eastAsia="仿宋_GB2312"/>
          <w:sz w:val="32"/>
          <w:szCs w:val="32"/>
        </w:rPr>
        <w:t>927.27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201.00</w:t>
      </w:r>
      <w:r>
        <w:rPr>
          <w:rFonts w:hint="eastAsia" w:ascii="仿宋_GB2312" w:eastAsia="仿宋_GB2312"/>
          <w:sz w:val="32"/>
          <w:szCs w:val="32"/>
        </w:rPr>
        <w:t>万元，全年执行数</w:t>
      </w:r>
      <w:r>
        <w:rPr>
          <w:rFonts w:ascii="仿宋_GB2312" w:eastAsia="仿宋_GB2312"/>
          <w:sz w:val="32"/>
          <w:szCs w:val="32"/>
        </w:rPr>
        <w:t>201.00</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完成草原围栏建设</w:t>
      </w:r>
      <w:r>
        <w:rPr>
          <w:rFonts w:hint="eastAsia" w:ascii="仿宋_GB2312" w:eastAsia="仿宋_GB2312"/>
          <w:sz w:val="32"/>
          <w:szCs w:val="32"/>
        </w:rPr>
        <w:t>；二是</w:t>
      </w:r>
      <w:r>
        <w:rPr>
          <w:rFonts w:hint="eastAsia" w:ascii="仿宋_GB2312" w:hAnsi="宋体" w:eastAsia="仿宋_GB2312"/>
          <w:bCs/>
          <w:sz w:val="32"/>
          <w:szCs w:val="32"/>
        </w:rPr>
        <w:t>草原保护建设</w:t>
      </w:r>
      <w:r>
        <w:rPr>
          <w:rFonts w:hint="eastAsia" w:ascii="仿宋_GB2312" w:eastAsia="仿宋_GB2312"/>
          <w:sz w:val="32"/>
          <w:szCs w:val="32"/>
        </w:rPr>
        <w:t>。发现的问题及原因：一是</w:t>
      </w:r>
      <w:r>
        <w:rPr>
          <w:rFonts w:hint="eastAsia" w:ascii="仿宋_GB2312" w:hAnsi="宋体" w:eastAsia="仿宋_GB2312"/>
          <w:bCs/>
          <w:sz w:val="32"/>
          <w:szCs w:val="32"/>
        </w:rPr>
        <w:t>预算编制工作有待细化</w:t>
      </w:r>
      <w:r>
        <w:rPr>
          <w:rFonts w:hint="eastAsia" w:ascii="仿宋_GB2312" w:eastAsia="仿宋_GB2312"/>
          <w:sz w:val="32"/>
          <w:szCs w:val="32"/>
        </w:rPr>
        <w:t>；二是</w:t>
      </w:r>
      <w:r>
        <w:rPr>
          <w:rFonts w:hint="eastAsia" w:ascii="仿宋_GB2312" w:hAnsi="宋体" w:eastAsia="仿宋_GB2312"/>
          <w:bCs/>
          <w:sz w:val="32"/>
          <w:szCs w:val="32"/>
        </w:rPr>
        <w:t>因野外工作的难度和工作经费缺少问题，全县草原保护建设和草原生态改善没达到预期完成率</w:t>
      </w:r>
      <w:r>
        <w:rPr>
          <w:rFonts w:hint="eastAsia" w:ascii="仿宋_GB2312" w:eastAsia="仿宋_GB2312"/>
          <w:sz w:val="32"/>
          <w:szCs w:val="32"/>
        </w:rPr>
        <w:t>。下一步改进措施：一是做好预算细化</w:t>
      </w:r>
      <w:r>
        <w:rPr>
          <w:rFonts w:hint="eastAsia" w:ascii="仿宋_GB2312" w:hAnsi="宋体" w:eastAsia="仿宋_GB2312"/>
          <w:bCs/>
          <w:sz w:val="32"/>
          <w:szCs w:val="32"/>
        </w:rPr>
        <w:t>对相关人员加强培训</w:t>
      </w:r>
      <w:r>
        <w:rPr>
          <w:rFonts w:hint="eastAsia" w:ascii="仿宋_GB2312" w:eastAsia="仿宋_GB2312"/>
          <w:sz w:val="32"/>
          <w:szCs w:val="32"/>
        </w:rPr>
        <w:t>；二是合理安排野外作业人员工作。具体项目自评情况附绩效自评表及自评报告。具体项目自评情况附绩效自评表及自评报告。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343"/>
        <w:gridCol w:w="1383"/>
        <w:gridCol w:w="1092"/>
        <w:gridCol w:w="1140"/>
        <w:gridCol w:w="828"/>
        <w:gridCol w:w="756"/>
        <w:gridCol w:w="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79" w:type="pct"/>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部门（单位）名称</w:t>
            </w:r>
          </w:p>
        </w:tc>
        <w:tc>
          <w:tcPr>
            <w:tcW w:w="4120" w:type="pct"/>
            <w:gridSpan w:val="7"/>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木垒县草原工作站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9"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部门资金（万元）</w:t>
            </w: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资金来源</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年初预算数</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全年预算数</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全年执行数</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分值权重</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执行率</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中央安排</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自治区安排</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地（州、市）安排</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县（市、区）安排</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81.99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927.27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927.27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其他资金</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合计</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81.99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927.27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927.27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79"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年度总体目标</w:t>
            </w:r>
          </w:p>
        </w:tc>
        <w:tc>
          <w:tcPr>
            <w:tcW w:w="2240" w:type="pct"/>
            <w:gridSpan w:val="3"/>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1880" w:type="pct"/>
            <w:gridSpan w:val="4"/>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879" w:type="pct"/>
            <w:vMerge w:val="continue"/>
            <w:vAlign w:val="center"/>
          </w:tcPr>
          <w:p>
            <w:pPr>
              <w:widowControl/>
              <w:jc w:val="left"/>
              <w:rPr>
                <w:rFonts w:ascii="宋体" w:hAnsi="宋体" w:cs="宋体"/>
                <w:kern w:val="0"/>
                <w:sz w:val="20"/>
                <w:szCs w:val="20"/>
              </w:rPr>
            </w:pPr>
          </w:p>
        </w:tc>
        <w:tc>
          <w:tcPr>
            <w:tcW w:w="2240" w:type="pct"/>
            <w:gridSpan w:val="3"/>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目标1：保障草原站各项工作圆满完成。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目标2：保障全县草原保护建设工作顺利开展，指导农牧民义务保护水平提高。</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目标3：保障持续推进林草恢复和草原生态保护工作。</w:t>
            </w:r>
          </w:p>
        </w:tc>
        <w:tc>
          <w:tcPr>
            <w:tcW w:w="1880" w:type="pct"/>
            <w:gridSpan w:val="4"/>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截止本次自评节点，我单位已完成了蝗虫鼠害防治4次，完成草原围栏建设10公里。保障了全县草原保护建设工作顺利开展，指导了农牧民义务保护水平提高。持续推进了林草恢复和草原生态保护工作。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79"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指标值设定依据</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分值权重</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运行成本</w:t>
            </w:r>
          </w:p>
        </w:tc>
        <w:tc>
          <w:tcPr>
            <w:tcW w:w="787"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人员工资、社保、住房发放人数</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&gt;=4人</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4人</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vMerge w:val="continue"/>
            <w:vAlign w:val="center"/>
          </w:tcPr>
          <w:p>
            <w:pPr>
              <w:widowControl/>
              <w:jc w:val="left"/>
              <w:rPr>
                <w:rFonts w:ascii="宋体" w:hAnsi="宋体" w:cs="宋体"/>
                <w:kern w:val="0"/>
                <w:sz w:val="20"/>
                <w:szCs w:val="20"/>
              </w:rPr>
            </w:pP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公务保障用车数量</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&gt;=1辆</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1辆</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公用经费支付及时率</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&gt;99百分率</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99%</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单位正常运转率</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=100百分率</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管理效率</w:t>
            </w:r>
          </w:p>
        </w:tc>
        <w:tc>
          <w:tcPr>
            <w:tcW w:w="787"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履职效能</w:t>
            </w:r>
          </w:p>
        </w:tc>
        <w:tc>
          <w:tcPr>
            <w:tcW w:w="787"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811"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完成蝗虫鼠害防治</w:t>
            </w:r>
          </w:p>
        </w:tc>
        <w:tc>
          <w:tcPr>
            <w:tcW w:w="64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&gt;4次</w:t>
            </w:r>
          </w:p>
        </w:tc>
        <w:tc>
          <w:tcPr>
            <w:tcW w:w="668"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w:t>
            </w:r>
          </w:p>
        </w:tc>
        <w:tc>
          <w:tcPr>
            <w:tcW w:w="44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4次</w:t>
            </w:r>
          </w:p>
        </w:tc>
        <w:tc>
          <w:tcPr>
            <w:tcW w:w="28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vMerge w:val="continue"/>
            <w:vAlign w:val="center"/>
          </w:tcPr>
          <w:p>
            <w:pPr>
              <w:widowControl/>
              <w:jc w:val="left"/>
              <w:rPr>
                <w:rFonts w:ascii="宋体" w:hAnsi="宋体" w:cs="宋体"/>
                <w:kern w:val="0"/>
                <w:sz w:val="20"/>
                <w:szCs w:val="20"/>
              </w:rPr>
            </w:pP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完成草原围栏建设</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&gt;10公里</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9</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10公里</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vMerge w:val="restar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质量指标</w:t>
            </w: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草原保护围栏建设合格率</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&gt;90百分率</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restar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社会效益</w:t>
            </w:r>
          </w:p>
        </w:tc>
        <w:tc>
          <w:tcPr>
            <w:tcW w:w="787" w:type="pct"/>
            <w:vMerge w:val="continue"/>
            <w:vAlign w:val="center"/>
          </w:tcPr>
          <w:p>
            <w:pPr>
              <w:widowControl/>
              <w:jc w:val="left"/>
              <w:rPr>
                <w:rFonts w:ascii="宋体" w:hAnsi="宋体" w:cs="宋体"/>
                <w:kern w:val="0"/>
                <w:sz w:val="20"/>
                <w:szCs w:val="20"/>
              </w:rPr>
            </w:pP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草场覆盖率</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&gt;80百分率</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80%</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时效指标</w:t>
            </w: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促进全县林草持续健康发展</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长期</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长期</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可持续发展能力</w:t>
            </w:r>
          </w:p>
        </w:tc>
        <w:tc>
          <w:tcPr>
            <w:tcW w:w="787" w:type="pct"/>
            <w:vMerge w:val="restar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质量指标</w:t>
            </w: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草原保护建设率</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&gt;80百分率</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80%</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restar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服务对象满意度</w:t>
            </w:r>
          </w:p>
        </w:tc>
        <w:tc>
          <w:tcPr>
            <w:tcW w:w="787" w:type="pct"/>
            <w:vMerge w:val="continue"/>
            <w:vAlign w:val="center"/>
          </w:tcPr>
          <w:p>
            <w:pPr>
              <w:widowControl/>
              <w:jc w:val="left"/>
              <w:rPr>
                <w:rFonts w:ascii="宋体" w:hAnsi="宋体" w:cs="宋体"/>
                <w:kern w:val="0"/>
                <w:sz w:val="20"/>
                <w:szCs w:val="20"/>
              </w:rPr>
            </w:pP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相关部门满意度</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&gt;90百分率</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9" w:type="pct"/>
            <w:vMerge w:val="continue"/>
            <w:vAlign w:val="center"/>
          </w:tcPr>
          <w:p>
            <w:pPr>
              <w:widowControl/>
              <w:jc w:val="left"/>
              <w:rPr>
                <w:rFonts w:ascii="宋体" w:hAnsi="宋体" w:cs="宋体"/>
                <w:kern w:val="0"/>
                <w:sz w:val="20"/>
                <w:szCs w:val="20"/>
              </w:rPr>
            </w:pPr>
          </w:p>
        </w:tc>
        <w:tc>
          <w:tcPr>
            <w:tcW w:w="787" w:type="pct"/>
            <w:vMerge w:val="continue"/>
            <w:vAlign w:val="center"/>
          </w:tcPr>
          <w:p>
            <w:pPr>
              <w:widowControl/>
              <w:jc w:val="left"/>
              <w:rPr>
                <w:rFonts w:ascii="宋体" w:hAnsi="宋体" w:cs="宋体"/>
                <w:kern w:val="0"/>
                <w:sz w:val="20"/>
                <w:szCs w:val="20"/>
              </w:rPr>
            </w:pPr>
          </w:p>
        </w:tc>
        <w:tc>
          <w:tcPr>
            <w:tcW w:w="811"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农牧民满意度</w:t>
            </w:r>
          </w:p>
        </w:tc>
        <w:tc>
          <w:tcPr>
            <w:tcW w:w="64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&gt;90办百分率</w:t>
            </w:r>
          </w:p>
        </w:tc>
        <w:tc>
          <w:tcPr>
            <w:tcW w:w="668"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c>
          <w:tcPr>
            <w:tcW w:w="44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28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5</w:t>
            </w:r>
          </w:p>
        </w:tc>
      </w:tr>
    </w:tbl>
    <w:p>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611"/>
        <w:gridCol w:w="613"/>
        <w:gridCol w:w="1017"/>
        <w:gridCol w:w="204"/>
        <w:gridCol w:w="816"/>
        <w:gridCol w:w="338"/>
        <w:gridCol w:w="877"/>
        <w:gridCol w:w="781"/>
        <w:gridCol w:w="489"/>
        <w:gridCol w:w="431"/>
        <w:gridCol w:w="489"/>
        <w:gridCol w:w="430"/>
        <w:gridCol w:w="486"/>
        <w:gridCol w:w="718"/>
        <w:gridCol w:w="222"/>
      </w:tblGrid>
      <w:tr>
        <w:tblPrEx>
          <w:tblCellMar>
            <w:top w:w="0" w:type="dxa"/>
            <w:left w:w="108" w:type="dxa"/>
            <w:bottom w:w="0" w:type="dxa"/>
            <w:right w:w="108" w:type="dxa"/>
          </w:tblCellMar>
        </w:tblPrEx>
        <w:trPr>
          <w:gridAfter w:val="1"/>
          <w:wAfter w:w="130" w:type="pct"/>
          <w:trHeight w:val="405" w:hRule="atLeast"/>
        </w:trPr>
        <w:tc>
          <w:tcPr>
            <w:tcW w:w="4869" w:type="pct"/>
            <w:gridSpan w:val="14"/>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gridAfter w:val="1"/>
          <w:wAfter w:w="130" w:type="pct"/>
          <w:trHeight w:val="270" w:hRule="atLeast"/>
        </w:trPr>
        <w:tc>
          <w:tcPr>
            <w:tcW w:w="4869" w:type="pct"/>
            <w:gridSpan w:val="14"/>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(2023年度)</w:t>
            </w:r>
          </w:p>
        </w:tc>
      </w:tr>
      <w:tr>
        <w:tblPrEx>
          <w:tblCellMar>
            <w:top w:w="0" w:type="dxa"/>
            <w:left w:w="108" w:type="dxa"/>
            <w:bottom w:w="0" w:type="dxa"/>
            <w:right w:w="108" w:type="dxa"/>
          </w:tblCellMar>
        </w:tblPrEx>
        <w:trPr>
          <w:gridAfter w:val="1"/>
          <w:wAfter w:w="130" w:type="pct"/>
          <w:trHeight w:val="270" w:hRule="atLeast"/>
        </w:trPr>
        <w:tc>
          <w:tcPr>
            <w:tcW w:w="7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4150" w:type="pct"/>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昌州财建（2022）46号-木垒县2022年中央林业草原生态保护恢复资金项目</w:t>
            </w:r>
          </w:p>
        </w:tc>
      </w:tr>
      <w:tr>
        <w:tblPrEx>
          <w:tblCellMar>
            <w:top w:w="0" w:type="dxa"/>
            <w:left w:w="108" w:type="dxa"/>
            <w:bottom w:w="0" w:type="dxa"/>
            <w:right w:w="108" w:type="dxa"/>
          </w:tblCellMar>
        </w:tblPrEx>
        <w:trPr>
          <w:gridAfter w:val="1"/>
          <w:wAfter w:w="130" w:type="pct"/>
          <w:trHeight w:val="270" w:hRule="atLeast"/>
        </w:trPr>
        <w:tc>
          <w:tcPr>
            <w:tcW w:w="7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主管部门</w:t>
            </w:r>
          </w:p>
        </w:tc>
        <w:tc>
          <w:tcPr>
            <w:tcW w:w="1909"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木垒县草原工作站</w:t>
            </w:r>
          </w:p>
        </w:tc>
        <w:tc>
          <w:tcPr>
            <w:tcW w:w="7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实施单位</w:t>
            </w:r>
          </w:p>
        </w:tc>
        <w:tc>
          <w:tcPr>
            <w:tcW w:w="1497"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木垒县草原工作站</w:t>
            </w:r>
            <w:bookmarkStart w:id="48" w:name="_GoBack"/>
            <w:bookmarkEnd w:id="48"/>
          </w:p>
        </w:tc>
      </w:tr>
      <w:tr>
        <w:tblPrEx>
          <w:tblCellMar>
            <w:top w:w="0" w:type="dxa"/>
            <w:left w:w="108" w:type="dxa"/>
            <w:bottom w:w="0" w:type="dxa"/>
            <w:right w:w="108" w:type="dxa"/>
          </w:tblCellMar>
        </w:tblPrEx>
        <w:trPr>
          <w:gridAfter w:val="1"/>
          <w:wAfter w:w="130" w:type="pct"/>
          <w:trHeight w:val="480" w:hRule="atLeast"/>
        </w:trPr>
        <w:tc>
          <w:tcPr>
            <w:tcW w:w="7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年初预算数</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全年预算数</w:t>
            </w:r>
          </w:p>
        </w:tc>
        <w:tc>
          <w:tcPr>
            <w:tcW w:w="7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全年执行数</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执行率</w:t>
            </w:r>
          </w:p>
        </w:tc>
        <w:tc>
          <w:tcPr>
            <w:tcW w:w="4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gridAfter w:val="1"/>
          <w:wAfter w:w="130" w:type="pct"/>
          <w:trHeight w:val="439" w:hRule="atLeast"/>
        </w:trPr>
        <w:tc>
          <w:tcPr>
            <w:tcW w:w="71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年度资金总额</w:t>
            </w:r>
          </w:p>
        </w:tc>
        <w:tc>
          <w:tcPr>
            <w:tcW w:w="4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201.00 </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201.00 </w:t>
            </w:r>
          </w:p>
        </w:tc>
        <w:tc>
          <w:tcPr>
            <w:tcW w:w="7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201.00 </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100.00%</w:t>
            </w:r>
          </w:p>
        </w:tc>
        <w:tc>
          <w:tcPr>
            <w:tcW w:w="4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10.00</w:t>
            </w:r>
          </w:p>
        </w:tc>
      </w:tr>
      <w:tr>
        <w:tblPrEx>
          <w:tblCellMar>
            <w:top w:w="0" w:type="dxa"/>
            <w:left w:w="108" w:type="dxa"/>
            <w:bottom w:w="0" w:type="dxa"/>
            <w:right w:w="108" w:type="dxa"/>
          </w:tblCellMar>
        </w:tblPrEx>
        <w:trPr>
          <w:gridAfter w:val="1"/>
          <w:wAfter w:w="130" w:type="pct"/>
          <w:trHeight w:val="439" w:hRule="atLeast"/>
        </w:trPr>
        <w:tc>
          <w:tcPr>
            <w:tcW w:w="71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其中：当年财政拨款</w:t>
            </w:r>
          </w:p>
        </w:tc>
        <w:tc>
          <w:tcPr>
            <w:tcW w:w="4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201.00 </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201.00 </w:t>
            </w:r>
          </w:p>
        </w:tc>
        <w:tc>
          <w:tcPr>
            <w:tcW w:w="7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201.00 </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gridAfter w:val="1"/>
          <w:wAfter w:w="130" w:type="pct"/>
          <w:trHeight w:val="439" w:hRule="atLeast"/>
        </w:trPr>
        <w:tc>
          <w:tcPr>
            <w:tcW w:w="71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  上年结转资金</w:t>
            </w:r>
          </w:p>
        </w:tc>
        <w:tc>
          <w:tcPr>
            <w:tcW w:w="4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gridAfter w:val="1"/>
          <w:wAfter w:w="130" w:type="pct"/>
          <w:trHeight w:val="439" w:hRule="atLeast"/>
        </w:trPr>
        <w:tc>
          <w:tcPr>
            <w:tcW w:w="71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  其他资金</w:t>
            </w:r>
          </w:p>
        </w:tc>
        <w:tc>
          <w:tcPr>
            <w:tcW w:w="4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gridAfter w:val="1"/>
          <w:wAfter w:w="130" w:type="pct"/>
          <w:trHeight w:val="270" w:hRule="atLeast"/>
        </w:trPr>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年度总体目标</w:t>
            </w:r>
          </w:p>
        </w:tc>
        <w:tc>
          <w:tcPr>
            <w:tcW w:w="2268" w:type="pct"/>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2241"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实际完成情况</w:t>
            </w:r>
          </w:p>
        </w:tc>
      </w:tr>
      <w:tr>
        <w:tblPrEx>
          <w:tblCellMar>
            <w:top w:w="0" w:type="dxa"/>
            <w:left w:w="108" w:type="dxa"/>
            <w:bottom w:w="0" w:type="dxa"/>
            <w:right w:w="108" w:type="dxa"/>
          </w:tblCellMar>
        </w:tblPrEx>
        <w:trPr>
          <w:gridAfter w:val="1"/>
          <w:wAfter w:w="130" w:type="pct"/>
          <w:trHeight w:val="540"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268" w:type="pct"/>
            <w:gridSpan w:val="6"/>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通过项目建设，可有效地使周边生态环境也得到改善，通过围栏工程8万亩，减轻草原放牧压力，恢复草原植被盖度率，退化草原得到恢复，风沙侵害有效遏制，水土流失问题得到整治，使改善生态环境。</w:t>
            </w:r>
          </w:p>
        </w:tc>
        <w:tc>
          <w:tcPr>
            <w:tcW w:w="2241" w:type="pct"/>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截止本项目完成时限，我单位针对本项目已完成如下工作：退还草原生态修复治理面积8万亩，减轻了草原放牧压力，恢复了草原植被盖度率，退化草原得到了恢复，风沙侵害有效遏制，水土流失问题得到整治，改善了生态环境。</w:t>
            </w:r>
          </w:p>
        </w:tc>
      </w:tr>
      <w:tr>
        <w:tblPrEx>
          <w:tblCellMar>
            <w:top w:w="0" w:type="dxa"/>
            <w:left w:w="108" w:type="dxa"/>
            <w:bottom w:w="0" w:type="dxa"/>
            <w:right w:w="108" w:type="dxa"/>
          </w:tblCellMar>
        </w:tblPrEx>
        <w:trPr>
          <w:gridAfter w:val="1"/>
          <w:wAfter w:w="130" w:type="pct"/>
          <w:trHeight w:val="312" w:hRule="atLeast"/>
        </w:trPr>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59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79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5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年度指标值</w:t>
            </w:r>
          </w:p>
        </w:tc>
        <w:tc>
          <w:tcPr>
            <w:tcW w:w="45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实际完成值</w:t>
            </w:r>
          </w:p>
        </w:tc>
        <w:tc>
          <w:tcPr>
            <w:tcW w:w="5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分值</w:t>
            </w:r>
          </w:p>
        </w:tc>
        <w:tc>
          <w:tcPr>
            <w:tcW w:w="5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得分</w:t>
            </w:r>
          </w:p>
        </w:tc>
        <w:tc>
          <w:tcPr>
            <w:tcW w:w="7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偏差原因分析及改进措施</w:t>
            </w:r>
          </w:p>
        </w:tc>
      </w:tr>
      <w:tr>
        <w:tblPrEx>
          <w:tblCellMar>
            <w:top w:w="0" w:type="dxa"/>
            <w:left w:w="108" w:type="dxa"/>
            <w:bottom w:w="0" w:type="dxa"/>
            <w:right w:w="108" w:type="dxa"/>
          </w:tblCellMar>
        </w:tblPrEx>
        <w:trPr>
          <w:trHeight w:val="270"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797"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1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4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3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7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0" w:type="pct"/>
            <w:tcBorders>
              <w:top w:val="nil"/>
              <w:left w:val="nil"/>
              <w:bottom w:val="nil"/>
              <w:right w:val="nil"/>
            </w:tcBorders>
            <w:shd w:val="clear" w:color="auto" w:fill="auto"/>
            <w:noWrap/>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年度绩效指标完成情况</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产出指标</w:t>
            </w: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退还草原生态修复治理面积</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&gt;=8万亩</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=8万亩</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退化草原生态修复治理质量达标率</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&gt;=90%</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退化草原生态修复任务完成及时率</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&gt;=100%</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经济成本指标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退化草原生态修复治理</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=25元/亩</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=25元/亩</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社会成本指标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辖区牧民投诉率</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生态环境成本指标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效益指标</w:t>
            </w: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改善退化草原完成率</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&gt;=90%</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带动就业人数</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&gt;=120人</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=120人</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402" w:hRule="atLeast"/>
        </w:trPr>
        <w:tc>
          <w:tcPr>
            <w:tcW w:w="35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79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服务对象满意度</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&gt;=95%</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c>
          <w:tcPr>
            <w:tcW w:w="5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70" w:hRule="atLeast"/>
        </w:trPr>
        <w:tc>
          <w:tcPr>
            <w:tcW w:w="308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总分</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100分</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0" w:type="pct"/>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344A18"/>
    <w:rsid w:val="00213C59"/>
    <w:rsid w:val="003210CE"/>
    <w:rsid w:val="00344A18"/>
    <w:rsid w:val="00393AAC"/>
    <w:rsid w:val="003A2D0F"/>
    <w:rsid w:val="0045190D"/>
    <w:rsid w:val="004852FC"/>
    <w:rsid w:val="00541735"/>
    <w:rsid w:val="00623721"/>
    <w:rsid w:val="00675371"/>
    <w:rsid w:val="0069558A"/>
    <w:rsid w:val="007256AA"/>
    <w:rsid w:val="00B70D59"/>
    <w:rsid w:val="00B90813"/>
    <w:rsid w:val="00D27261"/>
    <w:rsid w:val="00DB0043"/>
    <w:rsid w:val="00F52A8D"/>
    <w:rsid w:val="019404F8"/>
    <w:rsid w:val="02BD3108"/>
    <w:rsid w:val="02F73D26"/>
    <w:rsid w:val="034D4FEF"/>
    <w:rsid w:val="035D1785"/>
    <w:rsid w:val="039F47CE"/>
    <w:rsid w:val="03E05CE8"/>
    <w:rsid w:val="03F973EE"/>
    <w:rsid w:val="043E5B56"/>
    <w:rsid w:val="048C3708"/>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440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A00618"/>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00892"/>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94495"/>
    <w:rsid w:val="584A0929"/>
    <w:rsid w:val="58CD2491"/>
    <w:rsid w:val="591B41B2"/>
    <w:rsid w:val="59254A26"/>
    <w:rsid w:val="59326325"/>
    <w:rsid w:val="595C505B"/>
    <w:rsid w:val="595E55C3"/>
    <w:rsid w:val="596E7E20"/>
    <w:rsid w:val="59C503C4"/>
    <w:rsid w:val="59F9242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6881</Words>
  <Characters>7906</Characters>
  <Lines>66</Lines>
  <Paragraphs>18</Paragraphs>
  <TotalTime>42</TotalTime>
  <ScaleCrop>false</ScaleCrop>
  <LinksUpToDate>false</LinksUpToDate>
  <CharactersWithSpaces>7987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2024-08-19T03:32:34Z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